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50438E" w14:textId="77777777" w:rsidR="00002B8B" w:rsidRPr="007264BF" w:rsidRDefault="00002B8B" w:rsidP="00002B8B">
      <w:pPr>
        <w:jc w:val="center"/>
        <w:rPr>
          <w:rFonts w:ascii="Arial" w:hAnsi="Arial" w:cs="Arial"/>
          <w:u w:val="single"/>
        </w:rPr>
      </w:pPr>
      <w:r w:rsidRPr="008E0DFB">
        <w:rPr>
          <w:rFonts w:ascii="Arial" w:hAnsi="Arial" w:cs="Arial"/>
          <w:b/>
          <w:bCs/>
          <w:sz w:val="48"/>
          <w:szCs w:val="48"/>
        </w:rPr>
        <w:t>Индивидуальный предприниматель</w:t>
      </w:r>
      <w:r w:rsidRPr="007264BF">
        <w:rPr>
          <w:rFonts w:ascii="Arial" w:hAnsi="Arial" w:cs="Arial"/>
          <w:b/>
          <w:bCs/>
          <w:sz w:val="52"/>
          <w:szCs w:val="52"/>
        </w:rPr>
        <w:t xml:space="preserve"> ____</w:t>
      </w:r>
      <w:r w:rsidRPr="007264BF">
        <w:rPr>
          <w:rFonts w:ascii="Arial" w:hAnsi="Arial" w:cs="Arial"/>
          <w:b/>
          <w:bCs/>
          <w:sz w:val="52"/>
          <w:szCs w:val="52"/>
          <w:u w:val="single"/>
        </w:rPr>
        <w:t>ГАЙДУК ВЕРА ПЕТРОВНА_____</w:t>
      </w:r>
    </w:p>
    <w:p w14:paraId="183C9892" w14:textId="77777777" w:rsidR="00002B8B" w:rsidRPr="007264BF" w:rsidRDefault="00002B8B" w:rsidP="00002B8B">
      <w:pPr>
        <w:spacing w:after="0" w:line="240" w:lineRule="auto"/>
        <w:rPr>
          <w:rFonts w:ascii="Arial" w:hAnsi="Arial" w:cs="Arial"/>
        </w:rPr>
      </w:pPr>
      <w:r w:rsidRPr="007264BF">
        <w:rPr>
          <w:rFonts w:ascii="Arial" w:hAnsi="Arial" w:cs="Arial"/>
        </w:rPr>
        <w:t>Юридический адрес: Российская Федерация, 625007,</w:t>
      </w:r>
    </w:p>
    <w:p w14:paraId="67B5E7C9" w14:textId="77777777" w:rsidR="00002B8B" w:rsidRPr="007264BF" w:rsidRDefault="00002B8B" w:rsidP="00002B8B">
      <w:pPr>
        <w:spacing w:after="0" w:line="240" w:lineRule="auto"/>
        <w:rPr>
          <w:rFonts w:ascii="Arial" w:hAnsi="Arial" w:cs="Arial"/>
        </w:rPr>
      </w:pPr>
      <w:r w:rsidRPr="007264BF">
        <w:rPr>
          <w:rFonts w:ascii="Arial" w:hAnsi="Arial" w:cs="Arial"/>
        </w:rPr>
        <w:t>Тюменская обл</w:t>
      </w:r>
      <w:r>
        <w:rPr>
          <w:rFonts w:ascii="Arial" w:hAnsi="Arial" w:cs="Arial"/>
        </w:rPr>
        <w:t>.</w:t>
      </w:r>
      <w:r w:rsidRPr="007264BF">
        <w:rPr>
          <w:rFonts w:ascii="Arial" w:hAnsi="Arial" w:cs="Arial"/>
        </w:rPr>
        <w:t xml:space="preserve">, г. Тюмень, ул. Широтная, дом 17А </w:t>
      </w:r>
    </w:p>
    <w:p w14:paraId="488A068D" w14:textId="77777777" w:rsidR="00002B8B" w:rsidRPr="007264BF" w:rsidRDefault="00002B8B" w:rsidP="00002B8B">
      <w:pPr>
        <w:spacing w:after="0" w:line="240" w:lineRule="auto"/>
        <w:rPr>
          <w:rFonts w:ascii="Arial" w:hAnsi="Arial" w:cs="Arial"/>
        </w:rPr>
      </w:pPr>
      <w:r w:rsidRPr="007264BF">
        <w:rPr>
          <w:rFonts w:ascii="Arial" w:hAnsi="Arial" w:cs="Arial"/>
        </w:rPr>
        <w:t xml:space="preserve">ИНН: 860804473543 </w:t>
      </w:r>
    </w:p>
    <w:p w14:paraId="722A24B7" w14:textId="77777777" w:rsidR="00002B8B" w:rsidRPr="007264BF" w:rsidRDefault="00002B8B" w:rsidP="00002B8B">
      <w:pPr>
        <w:spacing w:after="0" w:line="240" w:lineRule="auto"/>
        <w:rPr>
          <w:rFonts w:ascii="Arial" w:hAnsi="Arial" w:cs="Arial"/>
        </w:rPr>
      </w:pPr>
      <w:r w:rsidRPr="007264BF">
        <w:rPr>
          <w:rFonts w:ascii="Arial" w:hAnsi="Arial" w:cs="Arial"/>
        </w:rPr>
        <w:t>ОГРН: 320723200004048</w:t>
      </w:r>
    </w:p>
    <w:p w14:paraId="55CF63FC" w14:textId="77777777" w:rsidR="00002B8B" w:rsidRPr="008E0DFB" w:rsidRDefault="00002B8B" w:rsidP="00002B8B">
      <w:pPr>
        <w:ind w:left="5670"/>
        <w:rPr>
          <w:rFonts w:ascii="Arial" w:hAnsi="Arial" w:cs="Arial"/>
        </w:rPr>
      </w:pPr>
      <w:r>
        <w:rPr>
          <w:rFonts w:ascii="Arial" w:hAnsi="Arial" w:cs="Arial"/>
        </w:rPr>
        <w:br/>
      </w:r>
      <w:r>
        <w:rPr>
          <w:rFonts w:ascii="Arial" w:hAnsi="Arial" w:cs="Arial"/>
        </w:rPr>
        <w:br/>
      </w:r>
      <w:r>
        <w:rPr>
          <w:rFonts w:ascii="Arial" w:hAnsi="Arial" w:cs="Arial"/>
        </w:rPr>
        <w:br/>
      </w:r>
      <w:r>
        <w:rPr>
          <w:rFonts w:ascii="Arial" w:hAnsi="Arial" w:cs="Arial"/>
        </w:rPr>
        <w:br/>
      </w:r>
      <w:r w:rsidRPr="008E0DFB">
        <w:rPr>
          <w:rFonts w:ascii="Arial" w:hAnsi="Arial" w:cs="Arial"/>
        </w:rPr>
        <w:t>УТВЕРЖДАЮ</w:t>
      </w:r>
    </w:p>
    <w:p w14:paraId="103B9CC8" w14:textId="77777777" w:rsidR="00002B8B" w:rsidRPr="007264BF" w:rsidRDefault="00002B8B" w:rsidP="00002B8B">
      <w:pPr>
        <w:ind w:left="5670"/>
        <w:rPr>
          <w:rFonts w:ascii="Arial" w:hAnsi="Arial" w:cs="Arial"/>
        </w:rPr>
      </w:pPr>
      <w:r w:rsidRPr="008E0DFB">
        <w:rPr>
          <w:rFonts w:ascii="Arial" w:hAnsi="Arial" w:cs="Arial"/>
        </w:rPr>
        <w:t xml:space="preserve">ИП </w:t>
      </w:r>
      <w:r>
        <w:rPr>
          <w:rFonts w:ascii="Arial" w:hAnsi="Arial" w:cs="Arial"/>
        </w:rPr>
        <w:t>Гайдук В.П.</w:t>
      </w:r>
    </w:p>
    <w:p w14:paraId="59FA5D27" w14:textId="77777777" w:rsidR="00002B8B" w:rsidRPr="008E0DFB" w:rsidRDefault="00002B8B" w:rsidP="00002B8B">
      <w:pPr>
        <w:ind w:left="5670"/>
        <w:rPr>
          <w:rFonts w:ascii="Arial" w:hAnsi="Arial" w:cs="Arial"/>
        </w:rPr>
      </w:pPr>
      <w:r w:rsidRPr="008E0DFB">
        <w:rPr>
          <w:rFonts w:ascii="Arial" w:hAnsi="Arial" w:cs="Arial"/>
        </w:rPr>
        <w:t xml:space="preserve"> приказ №1 от 26.09.202</w:t>
      </w:r>
      <w:r>
        <w:rPr>
          <w:rFonts w:ascii="Arial" w:hAnsi="Arial" w:cs="Arial"/>
        </w:rPr>
        <w:t>3</w:t>
      </w:r>
      <w:r w:rsidRPr="008E0DFB">
        <w:rPr>
          <w:rFonts w:ascii="Arial" w:hAnsi="Arial" w:cs="Arial"/>
        </w:rPr>
        <w:t>г.</w:t>
      </w:r>
    </w:p>
    <w:p w14:paraId="74D4795B" w14:textId="77777777" w:rsidR="00002B8B" w:rsidRPr="008E0DFB" w:rsidRDefault="00002B8B" w:rsidP="00002B8B">
      <w:pPr>
        <w:ind w:left="5670"/>
        <w:rPr>
          <w:rFonts w:ascii="Arial" w:hAnsi="Arial" w:cs="Arial"/>
        </w:rPr>
      </w:pPr>
      <w:r w:rsidRPr="008E0DFB">
        <w:rPr>
          <w:rFonts w:ascii="Arial" w:hAnsi="Arial" w:cs="Arial"/>
        </w:rPr>
        <w:br/>
      </w:r>
    </w:p>
    <w:p w14:paraId="1640903F" w14:textId="77777777" w:rsidR="00002B8B" w:rsidRPr="008E0DFB" w:rsidRDefault="00002B8B" w:rsidP="00002B8B">
      <w:pPr>
        <w:ind w:left="5670"/>
        <w:rPr>
          <w:rFonts w:ascii="Arial" w:hAnsi="Arial" w:cs="Arial"/>
        </w:rPr>
      </w:pPr>
      <w:r w:rsidRPr="008E0DFB">
        <w:rPr>
          <w:rFonts w:ascii="Arial" w:hAnsi="Arial" w:cs="Arial"/>
        </w:rPr>
        <w:t xml:space="preserve">______________ </w:t>
      </w:r>
      <w:r>
        <w:rPr>
          <w:rFonts w:ascii="Arial" w:hAnsi="Arial" w:cs="Arial"/>
        </w:rPr>
        <w:t>Гайдук В.П.</w:t>
      </w:r>
    </w:p>
    <w:p w14:paraId="518AE39F" w14:textId="77777777" w:rsidR="00A568C0" w:rsidRDefault="00A568C0">
      <w:pPr>
        <w:ind w:left="5670"/>
        <w:rPr>
          <w:rFonts w:ascii="Arial" w:hAnsi="Arial" w:cs="Arial"/>
        </w:rPr>
      </w:pPr>
    </w:p>
    <w:p w14:paraId="584B2E91" w14:textId="77777777" w:rsidR="00A568C0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br/>
      </w:r>
    </w:p>
    <w:p w14:paraId="5746486A" w14:textId="77777777" w:rsidR="00A568C0" w:rsidRDefault="00A568C0">
      <w:pPr>
        <w:rPr>
          <w:rFonts w:ascii="Arial" w:hAnsi="Arial" w:cs="Arial"/>
        </w:rPr>
      </w:pPr>
    </w:p>
    <w:p w14:paraId="3E54FF3F" w14:textId="77777777" w:rsidR="00A568C0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br/>
      </w:r>
      <w:r>
        <w:rPr>
          <w:rFonts w:ascii="Arial" w:hAnsi="Arial" w:cs="Arial"/>
        </w:rPr>
        <w:br/>
      </w:r>
    </w:p>
    <w:p w14:paraId="5DD0ED93" w14:textId="77777777" w:rsidR="00A568C0" w:rsidRDefault="0000000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ПОЛОЖЕНИЕ</w:t>
      </w:r>
    </w:p>
    <w:p w14:paraId="33370A80" w14:textId="77777777" w:rsidR="00A568C0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t>о комиссии по урегулированию споров между участниками образовательных отношений</w:t>
      </w:r>
    </w:p>
    <w:p w14:paraId="619AB221" w14:textId="77777777" w:rsidR="00A568C0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br/>
      </w:r>
    </w:p>
    <w:p w14:paraId="06B08FD5" w14:textId="77777777" w:rsidR="00A568C0" w:rsidRDefault="00A568C0">
      <w:pPr>
        <w:rPr>
          <w:rFonts w:ascii="Arial" w:hAnsi="Arial" w:cs="Arial"/>
        </w:rPr>
      </w:pPr>
    </w:p>
    <w:p w14:paraId="3E8A8AD0" w14:textId="77777777" w:rsidR="00A568C0" w:rsidRDefault="00A568C0">
      <w:pPr>
        <w:rPr>
          <w:rFonts w:ascii="Arial" w:hAnsi="Arial" w:cs="Arial"/>
        </w:rPr>
      </w:pPr>
    </w:p>
    <w:p w14:paraId="63FC1C63" w14:textId="77777777" w:rsidR="00A568C0" w:rsidRDefault="00A568C0">
      <w:pPr>
        <w:rPr>
          <w:rFonts w:ascii="Arial" w:hAnsi="Arial" w:cs="Arial"/>
        </w:rPr>
      </w:pPr>
    </w:p>
    <w:p w14:paraId="59D9DF19" w14:textId="77777777" w:rsidR="00A568C0" w:rsidRDefault="00A568C0">
      <w:pPr>
        <w:jc w:val="center"/>
        <w:rPr>
          <w:rFonts w:ascii="Arial" w:hAnsi="Arial" w:cs="Arial"/>
          <w:b/>
          <w:bCs/>
        </w:rPr>
      </w:pPr>
    </w:p>
    <w:p w14:paraId="50B137B9" w14:textId="16F5CE22" w:rsidR="00BA4709" w:rsidRDefault="00002B8B" w:rsidP="00BA470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Тюмень, 2023</w:t>
      </w:r>
    </w:p>
    <w:p w14:paraId="31F56ACE" w14:textId="77777777" w:rsidR="00A568C0" w:rsidRDefault="00A568C0">
      <w:pPr>
        <w:jc w:val="center"/>
        <w:rPr>
          <w:rFonts w:ascii="Arial" w:hAnsi="Arial" w:cs="Arial"/>
        </w:rPr>
      </w:pPr>
    </w:p>
    <w:p w14:paraId="2F0F3F8C" w14:textId="77777777" w:rsidR="00A568C0" w:rsidRDefault="00A568C0">
      <w:pPr>
        <w:jc w:val="center"/>
        <w:rPr>
          <w:rFonts w:ascii="Arial" w:hAnsi="Arial" w:cs="Arial"/>
        </w:rPr>
      </w:pPr>
    </w:p>
    <w:p w14:paraId="7705A81C" w14:textId="77777777" w:rsidR="00A568C0" w:rsidRDefault="00A568C0">
      <w:pPr>
        <w:jc w:val="center"/>
        <w:rPr>
          <w:rFonts w:ascii="Arial" w:hAnsi="Arial" w:cs="Arial"/>
        </w:rPr>
      </w:pPr>
    </w:p>
    <w:p w14:paraId="2F0F3A9A" w14:textId="77777777" w:rsidR="00A568C0" w:rsidRDefault="00A568C0">
      <w:pPr>
        <w:jc w:val="center"/>
        <w:rPr>
          <w:rFonts w:ascii="Arial" w:hAnsi="Arial" w:cs="Arial"/>
        </w:rPr>
      </w:pPr>
    </w:p>
    <w:p w14:paraId="7647E64E" w14:textId="77777777" w:rsidR="00A568C0" w:rsidRDefault="00A568C0">
      <w:pPr>
        <w:jc w:val="center"/>
        <w:rPr>
          <w:rFonts w:ascii="Arial" w:hAnsi="Arial" w:cs="Arial"/>
        </w:rPr>
      </w:pPr>
    </w:p>
    <w:p w14:paraId="3F5B3FAA" w14:textId="77777777" w:rsidR="00A568C0" w:rsidRDefault="00A568C0">
      <w:pPr>
        <w:jc w:val="center"/>
        <w:rPr>
          <w:rFonts w:ascii="Arial" w:hAnsi="Arial" w:cs="Arial"/>
        </w:rPr>
      </w:pPr>
    </w:p>
    <w:p w14:paraId="2AA62404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ОБЩИЕ ПОЛОЖЕНИЯ </w:t>
      </w:r>
    </w:p>
    <w:p w14:paraId="42C07D54" w14:textId="0E0024AD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1.1. Настоящее Положение о комиссии по урегулированию споров между участниками образовательных отношений (далее - Положение) разработано в соответствии с законодательством Российской Федерации, локальными нормативными актами </w:t>
      </w:r>
      <w:r w:rsidR="00BA4709" w:rsidRPr="00556F8E">
        <w:rPr>
          <w:rFonts w:ascii="Arial" w:hAnsi="Arial" w:cs="Arial"/>
        </w:rPr>
        <w:t xml:space="preserve">Индивидуального предпринимателя </w:t>
      </w:r>
      <w:r w:rsidR="00002B8B">
        <w:rPr>
          <w:rFonts w:ascii="Arial" w:hAnsi="Arial" w:cs="Arial"/>
        </w:rPr>
        <w:t>Гайдук Веры Петровны</w:t>
      </w:r>
      <w:r>
        <w:rPr>
          <w:rFonts w:ascii="Arial" w:hAnsi="Arial" w:cs="Arial"/>
        </w:rPr>
        <w:t xml:space="preserve"> (далее – ИП). Все используемые в Положении термины приводятся в значении, установленном Федеральным законом от 29.12.2012 №27З-ФЗ «Об образовании в Российской Федерации», если иное значение не определено в Положении. </w:t>
      </w:r>
    </w:p>
    <w:p w14:paraId="6D94CB1E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1.2. Настоящее положение разработано в целях установления порядка создания, организации работы, принятия и исполнения решений Комиссией по урегулированию споров между участниками образовательных отношений (далее – Комиссия) у ИП </w:t>
      </w:r>
    </w:p>
    <w:p w14:paraId="0041224E" w14:textId="77777777" w:rsidR="00A568C0" w:rsidRDefault="00A568C0">
      <w:pPr>
        <w:jc w:val="both"/>
        <w:rPr>
          <w:rFonts w:ascii="Arial" w:hAnsi="Arial" w:cs="Arial"/>
        </w:rPr>
      </w:pPr>
    </w:p>
    <w:p w14:paraId="5DCDCD18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 ОРГАНИЗАЦИЯ ДЕЯТЕЛЬНОСТИ КОМИССИИ </w:t>
      </w:r>
    </w:p>
    <w:p w14:paraId="3B420BDB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2.1. Комиссия создается в составе четырёх членов из равного числа представителей обучающихся и представителей ИП.</w:t>
      </w:r>
    </w:p>
    <w:p w14:paraId="6FCD9544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2.2. Состав представителей ИП формируется из числа преподавателей, привлеченных для реализации образовательных программ на основании договора гражданско-правового характера (далее – привлеченный преподаватель) и реализующих образовательные программы на момент формирования Комиссии, и утверждается приказом ИП. </w:t>
      </w:r>
    </w:p>
    <w:p w14:paraId="3CE44132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2.3. Срок полномочий Комиссии исходит из срока рассмотрения конфликтной ситуации до момента ее разрешения. </w:t>
      </w:r>
    </w:p>
    <w:p w14:paraId="1BA5FFCC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2.4. Члены Комиссии осуществляют свою деятельность на безвозмездной основе. </w:t>
      </w:r>
    </w:p>
    <w:p w14:paraId="4A52E669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2.5. Сформированный состав Комиссии объявляется приказом ИП. </w:t>
      </w:r>
    </w:p>
    <w:p w14:paraId="695E37EA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2.6. Досрочное прекращение полномочий члена Комиссии осуществляется: − на основании личного заявления члена Комиссии об исключении из его состава; − по письменному требованию не менее 2/3 членов Комиссии; − в случае прекращения (расторжения) гражданско-правового договора члена Комиссии с ИП. </w:t>
      </w:r>
    </w:p>
    <w:p w14:paraId="5E93E9D1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2.7. В случае досрочного прекращения полномочий члена Комиссии в ее состав назначается новый представитель от соответствующей категории участников образовательного процесса в соответствии с п.2.1 настоящего Положения. </w:t>
      </w:r>
    </w:p>
    <w:p w14:paraId="6B7DE0A6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2.8. В целях организации работы Комиссия избирает из своего состава Председателя Комиссии и секретаря. </w:t>
      </w:r>
    </w:p>
    <w:p w14:paraId="57202575" w14:textId="77777777" w:rsidR="00A568C0" w:rsidRDefault="00A568C0">
      <w:pPr>
        <w:jc w:val="both"/>
        <w:rPr>
          <w:rFonts w:ascii="Arial" w:hAnsi="Arial" w:cs="Arial"/>
        </w:rPr>
      </w:pPr>
    </w:p>
    <w:p w14:paraId="0749DBBD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ПОРЯДОК РАССМОТРЕНИЯ КОНФЛИКТНОЙ СИТУАЦИИ </w:t>
      </w:r>
    </w:p>
    <w:p w14:paraId="377F9A28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3.1. Основанием создания Комиссии является обращение (жалоба, заявление, предложение) участника образовательных отношений на имя ИП. Срок создания Комиссии - не позднее 5 учебных дней с момента поступления такого обращения. </w:t>
      </w:r>
    </w:p>
    <w:p w14:paraId="3549C8B9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3.2. Обращение к ИП подается в письменной форме. В обращении указываются конкретные факты, признаки нарушений прав участников образовательных отношений, лица, допустившие нарушения, обстоятельства. </w:t>
      </w:r>
    </w:p>
    <w:p w14:paraId="6AA63307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3.3. Комиссия принимает решение о принятии к рассмотрению обращения не позднее 3 (трех) рабочих дней с момента начала его рассмотрения. Заседание Комиссии считается правомочным, если на нем присутствовало не менее 3/4 (три четверти) членов Комиссии. </w:t>
      </w:r>
    </w:p>
    <w:p w14:paraId="05007ADF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3.4. Лицо, направившее в Комиссию обращение, вправе присутствовать при рассмотрении этого обращения на заседании Комиссии. Лица, чьи действия обжалуются в обращении, также вправе присутствовать на заседании Комиссии и давать пояснения. </w:t>
      </w:r>
    </w:p>
    <w:p w14:paraId="7E7682FE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3.5. Для объективного и всестороннего рассмотрения обращений, Председатель Комиссии вправе приглашать на заседания и заслушивать иных участников образовательных отношений. Неявка данных лиц на заседание Комиссии, либо немотивированный отказ от показаний не являются препятствием для рассмотрения обращения по существу. </w:t>
      </w:r>
    </w:p>
    <w:p w14:paraId="238C3D24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3.6. Комиссия принимает решение по существу обращения простым большинством голосов членов, присутствующих на заседании Комиссии. </w:t>
      </w:r>
    </w:p>
    <w:p w14:paraId="56125316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3.7. В случае установления фактов нарушения прав участников образовательных отношений Комиссия принимает решение, направленное на восстановление нарушенных прав. На лиц, допустивших нарушение прав обучающихся, Комиссия возлагает обязанности по устранению выявленных нарушений и (или) недопущению нарушений в будущем. </w:t>
      </w:r>
    </w:p>
    <w:p w14:paraId="180A5800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3.8. Если нарушения прав участников образовательных отношений возникли вследствие принятия решения ИП, в том числе вследствие издания локального нормативного акта, Комиссия принимает решение о вынесении ИП рекомендации об отмене данного решения (отмене/изменению локального нормативного акта) и указывает рекомендуемый срок исполнения решения. </w:t>
      </w:r>
    </w:p>
    <w:p w14:paraId="5FDEA5C8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3.9. Комиссия отказывает в удовлетворении обращения на нарушение прав заявителя, если посчитает его необоснованным, не выявив факты указанных нарушений, не установит причинно-следственную связь между поведением лица, действия которого обжалуются, и нарушением прав лица, подавшего жалобу. </w:t>
      </w:r>
    </w:p>
    <w:p w14:paraId="7B8AC2D1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3.10. Решение Комиссии оформляется протоколом, который является обязательным для исполнения всеми участниками образовательных отношений и подлежит исполнению в указанный в нем срок. Протоколы заседаний Комиссии хранятся 3 (три) года у ИП </w:t>
      </w:r>
    </w:p>
    <w:p w14:paraId="1560D1FA" w14:textId="77777777" w:rsidR="00A568C0" w:rsidRDefault="00A568C0">
      <w:pPr>
        <w:jc w:val="both"/>
        <w:rPr>
          <w:rFonts w:ascii="Arial" w:hAnsi="Arial" w:cs="Arial"/>
        </w:rPr>
      </w:pPr>
    </w:p>
    <w:p w14:paraId="3E6415A6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4. ЗАКЛЮЧИТЕЛЬНЫЕ ПОЛОЖЕНИЯ </w:t>
      </w:r>
    </w:p>
    <w:p w14:paraId="209F5321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4.1. Настоящее Положение утверждается ИП и вступает в силу со дня введения его в действие приказом ИП. </w:t>
      </w:r>
    </w:p>
    <w:p w14:paraId="1B44D9F4" w14:textId="77777777" w:rsidR="00A568C0" w:rsidRDefault="000000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4.2. В данное Положение могут вноситься изменения и дополнения, которые утверждаются и вводятся в действие приказом ИП.</w:t>
      </w:r>
    </w:p>
    <w:sectPr w:rsidR="00A568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43C429" w14:textId="77777777" w:rsidR="000A151A" w:rsidRDefault="000A151A">
      <w:pPr>
        <w:spacing w:after="0" w:line="240" w:lineRule="auto"/>
      </w:pPr>
      <w:r>
        <w:separator/>
      </w:r>
    </w:p>
  </w:endnote>
  <w:endnote w:type="continuationSeparator" w:id="0">
    <w:p w14:paraId="46E9334B" w14:textId="77777777" w:rsidR="000A151A" w:rsidRDefault="000A15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15D8CC" w14:textId="77777777" w:rsidR="000A151A" w:rsidRDefault="000A151A">
      <w:pPr>
        <w:spacing w:after="0" w:line="240" w:lineRule="auto"/>
      </w:pPr>
      <w:r>
        <w:separator/>
      </w:r>
    </w:p>
  </w:footnote>
  <w:footnote w:type="continuationSeparator" w:id="0">
    <w:p w14:paraId="2AF2F65F" w14:textId="77777777" w:rsidR="000A151A" w:rsidRDefault="000A15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07FEB"/>
    <w:multiLevelType w:val="hybridMultilevel"/>
    <w:tmpl w:val="80E6783A"/>
    <w:lvl w:ilvl="0" w:tplc="AE9AC6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4ACF7E6">
      <w:start w:val="1"/>
      <w:numFmt w:val="lowerLetter"/>
      <w:lvlText w:val="%2."/>
      <w:lvlJc w:val="left"/>
      <w:pPr>
        <w:ind w:left="1440" w:hanging="360"/>
      </w:pPr>
    </w:lvl>
    <w:lvl w:ilvl="2" w:tplc="EFF400FE">
      <w:start w:val="1"/>
      <w:numFmt w:val="lowerRoman"/>
      <w:lvlText w:val="%3."/>
      <w:lvlJc w:val="right"/>
      <w:pPr>
        <w:ind w:left="2160" w:hanging="180"/>
      </w:pPr>
    </w:lvl>
    <w:lvl w:ilvl="3" w:tplc="6D02416A">
      <w:start w:val="1"/>
      <w:numFmt w:val="decimal"/>
      <w:lvlText w:val="%4."/>
      <w:lvlJc w:val="left"/>
      <w:pPr>
        <w:ind w:left="2880" w:hanging="360"/>
      </w:pPr>
    </w:lvl>
    <w:lvl w:ilvl="4" w:tplc="ECE0E55A">
      <w:start w:val="1"/>
      <w:numFmt w:val="lowerLetter"/>
      <w:lvlText w:val="%5."/>
      <w:lvlJc w:val="left"/>
      <w:pPr>
        <w:ind w:left="3600" w:hanging="360"/>
      </w:pPr>
    </w:lvl>
    <w:lvl w:ilvl="5" w:tplc="4AFE63A0">
      <w:start w:val="1"/>
      <w:numFmt w:val="lowerRoman"/>
      <w:lvlText w:val="%6."/>
      <w:lvlJc w:val="right"/>
      <w:pPr>
        <w:ind w:left="4320" w:hanging="180"/>
      </w:pPr>
    </w:lvl>
    <w:lvl w:ilvl="6" w:tplc="690EBBCC">
      <w:start w:val="1"/>
      <w:numFmt w:val="decimal"/>
      <w:lvlText w:val="%7."/>
      <w:lvlJc w:val="left"/>
      <w:pPr>
        <w:ind w:left="5040" w:hanging="360"/>
      </w:pPr>
    </w:lvl>
    <w:lvl w:ilvl="7" w:tplc="0EB22C4C">
      <w:start w:val="1"/>
      <w:numFmt w:val="lowerLetter"/>
      <w:lvlText w:val="%8."/>
      <w:lvlJc w:val="left"/>
      <w:pPr>
        <w:ind w:left="5760" w:hanging="360"/>
      </w:pPr>
    </w:lvl>
    <w:lvl w:ilvl="8" w:tplc="D972A0EE">
      <w:start w:val="1"/>
      <w:numFmt w:val="lowerRoman"/>
      <w:lvlText w:val="%9."/>
      <w:lvlJc w:val="right"/>
      <w:pPr>
        <w:ind w:left="6480" w:hanging="180"/>
      </w:pPr>
    </w:lvl>
  </w:abstractNum>
  <w:num w:numId="1" w16cid:durableId="252207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68C0"/>
    <w:rsid w:val="00002B8B"/>
    <w:rsid w:val="000A151A"/>
    <w:rsid w:val="001568B0"/>
    <w:rsid w:val="00244581"/>
    <w:rsid w:val="00281100"/>
    <w:rsid w:val="00782DDC"/>
    <w:rsid w:val="00A568C0"/>
    <w:rsid w:val="00A67810"/>
    <w:rsid w:val="00BA4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F040D"/>
  <w15:docId w15:val="{61773169-8960-4AD5-997C-8AE0D852B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pPr>
      <w:spacing w:after="0" w:line="240" w:lineRule="auto"/>
    </w:p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paragraph" w:styleId="a4">
    <w:name w:val="header"/>
    <w:basedOn w:val="a"/>
    <w:link w:val="a5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</w:style>
  <w:style w:type="paragraph" w:styleId="a6">
    <w:name w:val="footer"/>
    <w:basedOn w:val="a"/>
    <w:link w:val="a7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8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a7">
    <w:name w:val="Нижний колонтитул Знак"/>
    <w:link w:val="a6"/>
    <w:uiPriority w:val="99"/>
  </w:style>
  <w:style w:type="table" w:styleId="a9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1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0B7E1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single" w:sz="4" w:space="0" w:color="A2C6E7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single" w:sz="4" w:space="0" w:color="4472C4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BC2E5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  <w14:ligatures w14:val="none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aa">
    <w:name w:val="footnote text"/>
    <w:basedOn w:val="a"/>
    <w:link w:val="ab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b">
    <w:name w:val="Текст сноски Знак"/>
    <w:link w:val="aa"/>
    <w:uiPriority w:val="99"/>
    <w:rPr>
      <w:sz w:val="18"/>
    </w:rPr>
  </w:style>
  <w:style w:type="character" w:styleId="ac">
    <w:name w:val="footnote reference"/>
    <w:basedOn w:val="a0"/>
    <w:uiPriority w:val="99"/>
    <w:unhideWhenUsed/>
    <w:rPr>
      <w:vertAlign w:val="superscript"/>
    </w:rPr>
  </w:style>
  <w:style w:type="paragraph" w:styleId="ad">
    <w:name w:val="endnote text"/>
    <w:basedOn w:val="a"/>
    <w:link w:val="ae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e">
    <w:name w:val="Текст концевой сноски Знак"/>
    <w:link w:val="ad"/>
    <w:uiPriority w:val="99"/>
    <w:rPr>
      <w:sz w:val="20"/>
    </w:rPr>
  </w:style>
  <w:style w:type="character" w:styleId="af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2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0">
    <w:name w:val="TOC Heading"/>
    <w:uiPriority w:val="39"/>
    <w:unhideWhenUsed/>
  </w:style>
  <w:style w:type="paragraph" w:styleId="af1">
    <w:name w:val="table of figures"/>
    <w:basedOn w:val="a"/>
    <w:next w:val="a"/>
    <w:uiPriority w:val="99"/>
    <w:unhideWhenUsed/>
    <w:pPr>
      <w:spacing w:after="0"/>
    </w:p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Pr>
      <w:rFonts w:eastAsiaTheme="majorEastAsia" w:cstheme="majorBidi"/>
      <w:color w:val="272727" w:themeColor="text1" w:themeTint="D8"/>
    </w:rPr>
  </w:style>
  <w:style w:type="paragraph" w:styleId="af2">
    <w:name w:val="Title"/>
    <w:basedOn w:val="a"/>
    <w:next w:val="a"/>
    <w:link w:val="af3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af3">
    <w:name w:val="Заголовок Знак"/>
    <w:basedOn w:val="a0"/>
    <w:link w:val="af2"/>
    <w:uiPriority w:val="1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f4">
    <w:name w:val="Subtitle"/>
    <w:basedOn w:val="a"/>
    <w:next w:val="a"/>
    <w:link w:val="af5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f5">
    <w:name w:val="Подзаголовок Знак"/>
    <w:basedOn w:val="a0"/>
    <w:link w:val="af4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3">
    <w:name w:val="Quote"/>
    <w:basedOn w:val="a"/>
    <w:next w:val="a"/>
    <w:link w:val="24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4">
    <w:name w:val="Цитата 2 Знак"/>
    <w:basedOn w:val="a0"/>
    <w:link w:val="23"/>
    <w:uiPriority w:val="29"/>
    <w:rPr>
      <w:i/>
      <w:iCs/>
      <w:color w:val="404040" w:themeColor="text1" w:themeTint="BF"/>
    </w:rPr>
  </w:style>
  <w:style w:type="paragraph" w:styleId="af6">
    <w:name w:val="List Paragraph"/>
    <w:basedOn w:val="a"/>
    <w:uiPriority w:val="34"/>
    <w:qFormat/>
    <w:pPr>
      <w:ind w:left="720"/>
      <w:contextualSpacing/>
    </w:pPr>
  </w:style>
  <w:style w:type="character" w:styleId="af7">
    <w:name w:val="Intense Emphasis"/>
    <w:basedOn w:val="a0"/>
    <w:uiPriority w:val="21"/>
    <w:qFormat/>
    <w:rPr>
      <w:i/>
      <w:iCs/>
      <w:color w:val="2F5496" w:themeColor="accent1" w:themeShade="BF"/>
    </w:rPr>
  </w:style>
  <w:style w:type="paragraph" w:styleId="af8">
    <w:name w:val="Intense Quote"/>
    <w:basedOn w:val="a"/>
    <w:next w:val="a"/>
    <w:link w:val="af9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f9">
    <w:name w:val="Выделенная цитата Знак"/>
    <w:basedOn w:val="a0"/>
    <w:link w:val="af8"/>
    <w:uiPriority w:val="30"/>
    <w:rPr>
      <w:i/>
      <w:iCs/>
      <w:color w:val="2F5496" w:themeColor="accent1" w:themeShade="BF"/>
    </w:rPr>
  </w:style>
  <w:style w:type="character" w:styleId="afa">
    <w:name w:val="Intense Reference"/>
    <w:basedOn w:val="a0"/>
    <w:uiPriority w:val="32"/>
    <w:qFormat/>
    <w:rPr>
      <w:b/>
      <w:bCs/>
      <w:smallCaps/>
      <w:color w:val="2F5496" w:themeColor="accent1" w:themeShade="BF"/>
      <w:spacing w:val="5"/>
    </w:rPr>
  </w:style>
  <w:style w:type="paragraph" w:styleId="afb">
    <w:name w:val="Normal (Web)"/>
    <w:basedOn w:val="a"/>
    <w:uiPriority w:val="99"/>
    <w:semiHidden/>
    <w:unhideWhenUsed/>
    <w:rPr>
      <w:rFonts w:ascii="Times New Roman" w:hAnsi="Times New Roman" w:cs="Times New Roman"/>
      <w:sz w:val="24"/>
      <w:szCs w:val="24"/>
    </w:rPr>
  </w:style>
  <w:style w:type="character" w:styleId="afc">
    <w:name w:val="Hyperlink"/>
    <w:basedOn w:val="a0"/>
    <w:uiPriority w:val="99"/>
    <w:unhideWhenUsed/>
    <w:rPr>
      <w:color w:val="0563C1" w:themeColor="hyperlink"/>
      <w:u w:val="single"/>
    </w:rPr>
  </w:style>
  <w:style w:type="character" w:styleId="afd">
    <w:name w:val="Unresolved Mention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9818A6-054E-4346-A4B3-2C23C2776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796</Words>
  <Characters>4542</Characters>
  <Application>Microsoft Office Word</Application>
  <DocSecurity>0</DocSecurity>
  <Lines>37</Lines>
  <Paragraphs>10</Paragraphs>
  <ScaleCrop>false</ScaleCrop>
  <Company/>
  <LinksUpToDate>false</LinksUpToDate>
  <CharactersWithSpaces>5328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0564</dc:creator>
  <cp:keywords/>
  <dc:description/>
  <cp:lastModifiedBy>Сметанина Наталья</cp:lastModifiedBy>
  <cp:revision>9</cp:revision>
  <dcterms:created xsi:type="dcterms:W3CDTF">2025-01-24T14:56:00Z</dcterms:created>
  <dcterms:modified xsi:type="dcterms:W3CDTF">2026-04-13T11:27:00Z</dcterms:modified>
</cp:coreProperties>
</file>